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3F" w:rsidRDefault="009D6B3F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</w:p>
    <w:p w:rsid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8A5E11" w:rsidSect="0062540D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LEI n.º 1889/16 de 01.12.2016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Altera a Lei 1.781 de 18 de dezembro de 2013 e estabelece outras providências.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1°. Fica autorizada a adequação dos valores constantes no PPA 2014/2017, Lei Ordinária N.º 1.781 de 18 de dezembro de 2013, para elaboração do Orçamento 2017.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2°. Ficam criadas/alteradas as ações no PPA 2014/2017, conforme relatório em anexo.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3º. Esta Lei entra em vigor na data de sua publicação.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Prefeitura Municipal de Jacutinga, 01 de Dezembro de 2016.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Finanças, Planej. e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1891/16 de 08.12.2016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Estima a receita e fixa a despesa do Município de Jacutinga para o exercício financeiro de 2.017.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Art.1º. Esta Lei estima a receita e fixa a despesa do Município para o exercício financeiro de 2017, nos termos do art. 165, § 5º, da Constituição Federal e com base no disposto na Lei nº 1884 de 29 de junho de 2016, Lei de Diretrizes Orçamentárias para o exercício Financeiro de 2017 compreendendo o orçamento fiscal e da seguridade social, referente aos Poderes do Município da Administração Pública Municipal direta.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2º. A receita orçamentária total estimada no orçamento fiscal é de R$ 69.000.000,00 (SESSENTA E NOVE MILHÕES DE REAIS), conforme os quadros I e IV, anexos integrantes desta Lei, sendo especificadas por categoria e fonte.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3º. A despesa orçamentária total fixada no orçamento fiscal é de R$ 69.000.000,00 (SESSENTA E NOVE MILHÕES DE REAIS), conforme os quadros II, III e IV, anexos integrantes desta Lei, sendo especificadas por funções de governo e por órgãos e unidades orçamentárias respectivamente.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Art. 4º. Fica o Poder Executivo autorizado a: 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 – utilizar reserva de contingência destinada ao atendimento de passivos contingentes, outros riscos e eventos fiscais imprevistos e demais créditos adicionais, conforme estabelecido na Lei de Diretrizes Orçamentárias para 2017.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II - Abrir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créditos suplementares, respeitadas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as demais prescrições constitucionais e nos termos da Lei Federal n.º 4.320/1964, até o valor correspondente a 35% (trinta e cinco por cento) do total fixado no Orçamento do Município.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5º. Integram a presente Lei, os anexos: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 - Quadro I - Receita orçamentária por categoria e fonte;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 - Quadro II - Despesa orçamentária por funções de governo;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III - Quadro III - Despesa orçamentária por órgãos e unidades orçamentárias;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IV - Quadro IV - Resumo das receitas e despesas por órgãos.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6º. Acompanharão a presente Lei os anexos exigidos pela legislação vigente.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7º. Esta Lei entra em vigor na data de sua publicação, produzindo seus efeitos a partir de 1º de janeiro de 2017.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8º. Revogam-se as disposições em contrário.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Prefeitura Municipal de Jacutinga, 08 de Dezembro de 2016.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Finanças, Planej. e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1892/16 de 08.12.2016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Altera a Lei Municipal nº 1.884 de 29 de junho de 2016 e dá outras providências.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 º. O inciso I do art. 48 da Lei 1884 de 29 de junho de 2016, passa a vigorar com a seguinte redação: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t>“Art. 48 (...)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    I – Anexos de Metas Fiscais.”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Art. 2º. Os anexos de Metas Fiscais de que trata o inciso I do art. 48, da Lei 1.884 de 29 de junho de 2016, passam a serem os constantes da presente Lei.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3º. Esta Lei entra em vigor na data de sua publicação.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Prefeitura Municipal de Jacutinga, 08 de Dezembro de 2016.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  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Finanças, Planej. e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br/>
      </w:r>
      <w:r w:rsidRPr="008A5E11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1893/16 de 08.12.2016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Autoriza o Poder Executivo do Município de Jacutinga a doar, com encargos e cláusula de reversão, terreno público que especifica para empresa W.L.S. Exportadora e Importadora de Pneumáticos EIRELI e dá outras providências.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1º. Esta Lei dispõe sobre a doação de imóvel, com encargos, cláusula de reversão e prazos como estímulo econômico para a implantação de indústria no território municipal, conforme passa a descrever.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Art. 2º. Fica autorizado o Poder Executivo, a doar com encargos, cláusula de reversão e prazos, à empresa W.L.S. Exportadora e Importadora de Pneumáticos EIRELI, inscrita no CNPJ sob o n° 01.091.641/0001-61 o imóvel matriculado sob o nº 13.682 do Cartório de Registro de Imóveis de Jacutinga, MG, situado no Distrito Industrial “Alcides José </w:t>
      </w:r>
      <w:proofErr w:type="spellStart"/>
      <w:r w:rsidRPr="008A5E11">
        <w:rPr>
          <w:rFonts w:ascii="Times New Roman" w:eastAsia="Times New Roman" w:hAnsi="Times New Roman" w:cs="Times New Roman"/>
          <w:sz w:val="14"/>
          <w:szCs w:val="14"/>
        </w:rPr>
        <w:t>Pieroni</w:t>
      </w:r>
      <w:proofErr w:type="spellEnd"/>
      <w:r w:rsidRPr="008A5E11">
        <w:rPr>
          <w:rFonts w:ascii="Times New Roman" w:eastAsia="Times New Roman" w:hAnsi="Times New Roman" w:cs="Times New Roman"/>
          <w:sz w:val="14"/>
          <w:szCs w:val="14"/>
        </w:rPr>
        <w:t>”, saída para Ouro Fino, às margens da Rodovia MG. 290, neste município de Jacutinga, MG, a saber: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)    o terreno da Matrícula n° 13.682, com área de 19.580,40 m² (dezenove mil, quinhentos e oitenta metros e quarenta decímetros quadrados), com a seguinte descrição: Inicia-se a descrição deste perímetro no vértice 6, de coordenadas N 7.534.606,21m e </w:t>
      </w:r>
      <w:proofErr w:type="spellStart"/>
      <w:r w:rsidRPr="008A5E11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336.385,50m; deste, segue confrontando com Faixa Non </w:t>
      </w:r>
      <w:proofErr w:type="spellStart"/>
      <w:r w:rsidRPr="008A5E11">
        <w:rPr>
          <w:rFonts w:ascii="Times New Roman" w:eastAsia="Times New Roman" w:hAnsi="Times New Roman" w:cs="Times New Roman"/>
          <w:sz w:val="14"/>
          <w:szCs w:val="14"/>
        </w:rPr>
        <w:t>aedificandi</w:t>
      </w:r>
      <w:proofErr w:type="spellEnd"/>
      <w:r w:rsidRPr="008A5E11">
        <w:rPr>
          <w:rFonts w:ascii="Times New Roman" w:eastAsia="Times New Roman" w:hAnsi="Times New Roman" w:cs="Times New Roman"/>
          <w:sz w:val="14"/>
          <w:szCs w:val="14"/>
        </w:rPr>
        <w:t>, com divisa por cerca; com os seguintes azimutes e distâncias:  98°49'37" e 248,42 m até o vértice 5;   deste, segue confrontando com Lote2, com divisa por cerca; com os seguintes azimutes e distâncias:  188°49'38" e 102,50 m até o vértice 9;   deste, segue confrontando com Estrada Municipal, com divisa por cerca; com os seguintes azimutes e distâncias:  313°13'16" e 4,56 m até o vértice 10;  313°00'25" e 64,45 m até o vértice 11;  305°50'12" e 24,07 m até o vértice 12;  299°31'31" e 22,34 m até o vértice 13;  287°18'36" e 20,94 m até o vértice 14;  274°15'09" e 22,25 m até o vértice 15;  265°58'17" e 20,78 m até o vértice 16;  259°05'07" e 31,00 m até o vértice 17;  256°03'27" e 26,64 m até o vértice 18;  239°45'16" e 19,02 m até o vértice 19;  231°19'03" e 23,78 m até o vértice 20;  229°33'46" e 14,40 m até o vértice 21;  223°53'38" e 52,75 m até o vértice 22;  298°26'53" e 8,17 m até o vértice 23;  350°46'09" e 13,03 m até o vértice 24;  9°18'34" e 18,48 m até o vértice 25;  24°38'26" e 27,97 m até o vértice 26;  29°38'47" e 22,38 m até o vértice 27;  30°43'26" e 36,88 m até o vértice 28;  35°48'43" e 29,14 m até o vértice 29;   42°58'59" e 13,26 m até o vértice 6, ponto inicial da descrição deste perímetro.  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§ 1º. A certidão de matrícula e a planta situacional passam a fazer parte integrante da presente Lei.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§ 2º. O valor do terreno objeto da presente doação será fixado pelo Executivo Municipal, mediante prévia avaliação, através de Decreto.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3º. O imóvel descrito no artigo 2º desta Lei destina-se, exclusivamente, à construção e instalação de Unidade Fabril e Centro de Distribuição da Empresa, que deverá obrigatoriamente: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I – A EMPRESA compromete-se a encaminhar cronograma físico financeiro sobre a instalação de seu parque Industrial, bem como compromisso de capacitação de mão de obra e geração de empregos conforme estabelecido na Lei Municipal 1.575/2008 em seu artigo 8º e Incisos, sendo aos primeiros 12 meses no mínimo 50 (cinquenta) empregos e após este período no mínimo 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lastRenderedPageBreak/>
        <w:t>100 (cem) empregos;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II - A EMPRESA compromete-se a iniciar as obras de construção civil e instalações fabris em até 60 (sessenta) dias após a posse e a propriedade do imóvel (escritura registrada na matrícula do imóvel em favor da Empresa), bem como da aprovação do projeto e demais liberações por parte da Prefeitura, licenças ambientais por parte do órgão competente, e aprovação e liberação financeira do banco desenvolvedor, onde deverá ser implantado o projeto, estejam formalmente asseguradas e o decreto concessivo do incentivo para produção de Pneumáticos, Câmaras de Ar e Kits de Transmissão, bem como, importação e distribuição de produtos acabados, inclusive nacionais, tenha sido devidamente publicado; 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III - Apresentar todas as certidões ambientais necessárias ao exercício de sua atividade;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IV – Cumprir os demais compromissos assumidos no Protocolo de Intenções firmado com o Município em 05.08.2015 e no Protocolo de Intenções firmado com o Estado de Minas Gerais, exceção quando o descumprimento seja diretamente causado por caso fortuito ou força maior.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4º. A doação prevista nesta Lei se efetivará por escritura pública, lavrada no cartório competente.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Parágrafo único - Deverão constar na escritura pública, obrigatoriamente e de forma circunstanciada, os encargos, as cláusulas de reversão e os prazos, bem como autorização expressa e irretratável para construção, através do imóvel, de uma estrada e/ou trevo de acesso ligando a Rodovia MG290 á antiga estrada municipal Jacutinga-Ouro Fino.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5º. A empresa donatária terá o prazo de 02 (dois) anos, contados da finalização da implantação da fábrica – (Terraplanagem, construção dos Galpões e implantação dos maquinários), para adimplemento total dos encargos constantes do artigo 3º.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§ 1º. O prazo para iniciar suas obras e constituir pessoa jurídica registrada no município de Jacutinga, MG,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sob pena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de reversão da presente doação, será no máximo de 60 (sessenta) dias após a posse e a propriedade do imóvel (escritura registrada na matrícula do imóvel em favor da Empresa), bem como da aprovação do projeto e demais liberações por parte da Prefeitura, licenças ambientais por parte do órgão competente, e aprovação e liberação financeira do banco desenvolvedor, onde deverá ser implantado o projeto, estejam formalmente asseguradas e o decreto concessivo do incentivo para produção de Pneumáticos, Câmaras de Ar e Kits de Transmissão, bem como, importação e distribuição de produtos acabados, inclusive nacionais, tenha sido devidamente publicado.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§ 2º. O prazo para manutenção dos encargos é de 10 (Dez) anos, contados a partir da data do adimplemento total dos mesmos; vencido este prazo e cumpridos os encargos da doação, a propriedade do imóvel consolidar-se-á em favor da empresa, permanecendo daí em diante apenas a obrigação de utilizar o imóvel em empreendimento industrial.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6º. Fica autorizada, pelo prazo de 10 (dez) anos, prorrogáveis a critério do Executivo Municipal, nos termos da Lei 1.575/2008 e suas alterações, a isenção dos tributos abaixo relacionados: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I) – Imposto Predial e Territorial Urbano – IPTU, incidente sobre os imóveis destinados ao funcionamento das atividades da EMPRESA;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II)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– Imposto Sobre Serviços de Qualquer Natureza – ISSQN, quando a atividade incluir prestação de serviços tributáveis por esse imposto;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III) – Imposto Sobre a Transmissão “Inter Vivos” de Bens Imóveis – ITBI, incidente na aquisição pela EMPRESA de imóveis destinados ao funcionamento das atividades da EMPRESA;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IV) – Taxas relativas à aprovação do projeto, licença de localização, vistoria, fiscalização; 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V) – Taxa de Licença para execução de arruamentos, loteamentos e obra - TLA;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VI) – Taxa verificação de Funcionamento Regular – TVFR e suas renovações anuais;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Art. 7º. A doação realizada de acordo com a autorização contida nesta Lei ficará automaticamente revogada, revertendo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propriedade do imóvel, ao domínio pleno da municipalidade, se: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</w:r>
      <w:r w:rsidRPr="008A5E11">
        <w:rPr>
          <w:rFonts w:ascii="Times New Roman" w:eastAsia="Times New Roman" w:hAnsi="Times New Roman" w:cs="Times New Roman"/>
          <w:sz w:val="14"/>
          <w:szCs w:val="14"/>
        </w:rPr>
        <w:lastRenderedPageBreak/>
        <w:t>I – O Donatário fizer uso do imóvel doado para fins distintos daquele determinado;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 - não iniciadas as obras no prazo máximo de 180 (cento e oitenta) dias após a posse e a propriedade do imóvel (escritura registrada na matrícula do imóvel em favor da Empresa), bem como da aprovação do projeto e demais liberações por parte da Prefeitura, licenças ambientais por parte do órgão competente, e aprovação e liberação financeira do banco desenvolvedor, onde deverá ser implantado o projeto, estejam formalmente asseguradas e o decreto concessivo do incentivo para produção de Pneumáticos, Câmaras de Ar e Kits de Transmissão, bem como, importação e distribuição de produtos acabados, inclusive nacionais, tenha sido devidamente publicado;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III - não forem cumpridos os prazos estipulados; exceção quando o descumprimento seja diretamente causado por caso fortuito ou força maior.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IV - houver paralisação das atividades por mais de 180 (cento e oitenta) dias consecutivos;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V - ocorrer à falência da empresa;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VI - houver a transferência do estabelecimento sede para outro Município.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§ 1º. A empresa enquadrada neste artigo deverá desocupar o imóvel num prazo máximo de 180 (cento e oitenta) dias, sem direito a indenização por benfeitorias, acessões físicas ou de qualquer outra espécie, deixando a área como estava por ocasião do recebimento,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sob pena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de retenção das benfeitorias, resguardando-se, ainda, o direito de perdas e danos por parte do Município, na forma da Lei Civil.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§ 2º. Decorridos 180 (cento e oitenta) dias sem que o interessado retire as benfeitorias voluptuárias ou úteis que tenha edificado, as mesmas passarão a integrar o imóvel para todos os efeitos legais, sem direito a retenção ou indenização, revertendo como patrimônio do Município.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§ 3º. Somente será reconhecido o direito a indenização caso o descumprimento seja diretamente causado por caso fortuito ou força maior.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8º. Se a Empresa donatária necessitar oferecer o imóvel em garantia de financiamento, a cláusula de reversão e demais obrigações serão garantidas por hipoteca, em segundo grau, em favor do Município.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9º. Os benefícios desta Lei não poderão ser concedidos caso a empresa beneficiada esteja em débito com o Erário Público Federal, Estadual ou Municipal, tanto menos estar em desacordo com a legislação ambiental.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§ 1º. A empresa beneficiada por esta Lei não poderá transferir os privilégios concedidos pelo Poder Público Municipal, sem prévia autorização deste, mesmo que assegurada a continuidade dos propósitos. Nas hipóteses de cisão, transformação, incluindo mudança de atividade produtiva, fusão, incorporação ou qualquer forma de alienação ou reorganização societária, inclusive a conferência do estabelecimento da EMPRESA a outras sociedades, a sucessora a qualquer título, da EMPRESA, passará a ser, sem qualquer solução de continuidade, titular de todos os direitos e obrigações decorrentes deste Protocolo, especialmente no tocante aos incentivos e regimes tributários previstos neste Protocolo, estando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sucessora apta a fruição desses benefícios;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§ 2º. Em caso de descumprimento do disposto no parágrafo anterior, deverá a empresa ressarcir ao Município o valor correspondente aos benefícios concedidos.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10. São responsabilidades e obrigações da empresa donatária, dentre outros: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 - Cumprir e fazer cumprir as normas e as cláusulas da doação;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 - Fornecer ao Município sempre que solicitados quaisquer informações e/ou esclarecimentos sobre qualquer assunto inerente às relações resultantes da doação;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III - Cumprir a legislação ambiental no que se refere à atividade desenvolvida sobre o imóvel;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IV - Pagar os tributos que incidirem sobre o imóvel,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após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vencido o prazo de isenção previsto no artigo 6º da presente Lei;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V - Responsabilizar-se por todos os encargos decorrentes da relação trabalhista e previdenciária, especialmente aquelas decorrentes do vínculo empregatício que firmar com seus empregados a fim de fornecer os empregos 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lastRenderedPageBreak/>
        <w:t>a que está obrigada, eximindo o Poder Público Municipal de qualquer responsabilidade, seja solidária ou subsidiária;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VI - Fornecer ao Município semestralmente, no mês de julho e janeiro, cópia do CAGED - Cadastro geral de Empregados e Desempregados, e anualmente, a RAIS, no mês de março, a fim de que o Município possa conferir o cumprimento da proposta oferecida, até o implemento de seus encargos;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VII - Cumprir rigorosamente os encargos propostos;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VIII - Informar, facilitar e dar acesso aos representantes do Município, por todos os meios, visando à comprovação das condições propostas e contratadas;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11. Reverterá ao Município o imóvel concedido a título de incentivo econômico, quando: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 - não utilizados na sua finalidade;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II - não iniciadas as obras previstas no inciso II do artigo 3º no prazo máximo de 60 (sessenta) dias após a posse e a propriedade do imóvel (escritura registrada na matrícula do imóvel em favor da Empresa), bem como da aprovação do projeto e demais liberações por parte da Prefeitura, licenças ambientais por parte do órgão competente, e aprovação e liberação financeira do banco desenvolvedor, onde deverá ser implantado o projeto, estejam formalmente asseguradas e o decreto concessivo do incentivo para produção de Pneumáticos, Câmaras de Ar e Kits de Transmissão, bem como, importação e distribuição de produtos acabados, inclusive nacionais, tenha sido devidamente publicado; 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III - não cumprido os prazos estipulados; exceção quando o descumprimento seja diretamente causado por caso fortuito ou força maior.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IV - paralisação das atividades por mais de 180 (cento e oitenta) dias consecutivos;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V - falência da empresa;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VI - transferência do estabelecimento sede para outro Município.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12. Compete a Secretaria Municipal de Desenvolvimento Econômico - SEDECON, especialmente, acompanhar, avaliar e emitir parecer sobre o cumprimento da execução dos encargos propostos pelo beneficiado e, também, denunciar quaisquer irregularidades decorrentes da não aplicação das regras estabelecidas na Legislação Municipal, a respeito do desenvolvimento do Município.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Parágrafo único - Comprovado o descumprimento desta Lei a retomada dos bens doados se fará por Ato Administrativo Municipal.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13. A empresa beneficiada com as disposições desta Lei deverá enquadrar-se e atender a legislação e normas de saúde, higiene e segurança, arcando com todos os tributos e encargos incidentes.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Parágrafo único - O descumprimento do disposto neste artigo acarretará responsabilidade civil, fiscal e penal da empresa responsável.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14. Nas condições desta Lei fica reconhecido o Interesse Público da doação que ela trata.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15. As despesas decorrentes da aplicação desta Lei correrão por conta do orçamento municipal, em cada exercício.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16. Esta Lei entra em vigor na data de sua publicação.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Art. 17. Revogam-se as disposições em contrário.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Prefeitura Municipal de Jacutinga, 08 de Dezembro de 2016,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lastRenderedPageBreak/>
        <w:t>EDUARDO BORTOLOTTO FILHO</w:t>
      </w:r>
      <w:r w:rsidRPr="008A5E11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Finanças, Planej. e </w:t>
      </w:r>
      <w:proofErr w:type="gramStart"/>
      <w:r w:rsidRPr="008A5E11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8A5E11" w:rsidRPr="008A5E11" w:rsidRDefault="008A5E11" w:rsidP="008A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Default="008A5E11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8A5E11" w:rsidSect="008A5E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A5E11" w:rsidRDefault="008A5E11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D6B3F" w:rsidRDefault="009D6B3F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D6B3F" w:rsidRDefault="009D6B3F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113055" w:rsidRDefault="00113055" w:rsidP="0011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113055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F6" w:rsidRDefault="00404CF6" w:rsidP="008C3616">
      <w:pPr>
        <w:spacing w:after="0" w:line="240" w:lineRule="auto"/>
      </w:pPr>
      <w:r>
        <w:separator/>
      </w:r>
    </w:p>
  </w:endnote>
  <w:endnote w:type="continuationSeparator" w:id="0">
    <w:p w:rsidR="00404CF6" w:rsidRDefault="00404CF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B33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33B4">
              <w:rPr>
                <w:b/>
                <w:sz w:val="24"/>
                <w:szCs w:val="24"/>
              </w:rPr>
              <w:fldChar w:fldCharType="separate"/>
            </w:r>
            <w:r w:rsidR="00187C45">
              <w:rPr>
                <w:b/>
                <w:noProof/>
              </w:rPr>
              <w:t>3</w:t>
            </w:r>
            <w:r w:rsidR="00AB33B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B33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33B4">
              <w:rPr>
                <w:b/>
                <w:sz w:val="24"/>
                <w:szCs w:val="24"/>
              </w:rPr>
              <w:fldChar w:fldCharType="separate"/>
            </w:r>
            <w:r w:rsidR="00187C45">
              <w:rPr>
                <w:b/>
                <w:noProof/>
              </w:rPr>
              <w:t>4</w:t>
            </w:r>
            <w:r w:rsidR="00AB33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F6" w:rsidRDefault="00404CF6" w:rsidP="008C3616">
      <w:pPr>
        <w:spacing w:after="0" w:line="240" w:lineRule="auto"/>
      </w:pPr>
      <w:r>
        <w:separator/>
      </w:r>
    </w:p>
  </w:footnote>
  <w:footnote w:type="continuationSeparator" w:id="0">
    <w:p w:rsidR="00404CF6" w:rsidRDefault="00404CF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123932BB" wp14:editId="375BDC11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47F2F">
      <w:rPr>
        <w:rFonts w:ascii="Arial Narrow" w:hAnsi="Arial Narrow"/>
        <w:sz w:val="16"/>
        <w:szCs w:val="16"/>
      </w:rPr>
      <w:t>8</w:t>
    </w:r>
    <w:r w:rsidR="00187C45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– </w:t>
    </w:r>
    <w:r w:rsidR="00187C45">
      <w:rPr>
        <w:rFonts w:ascii="Arial Narrow" w:hAnsi="Arial Narrow"/>
        <w:sz w:val="16"/>
        <w:szCs w:val="16"/>
      </w:rPr>
      <w:t>12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7D6KWpUINrFhtFo/tzO5C4lDIYE=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FRsRkjTM9kExB38PH0SFN2nmWCDGhDTrPX6+mnakZM9l8mlitB51GNy78V/vzRWkwf0p6LTT
    0zd9ORVyJAnnRCygP+4RGHnAkyfaZ72Sbwf++3v9nWJDg/gGTtJEh9re8q+gk8CHB2zYGtqb
    hPLtFRF4IE+jbV5tEd7NbLdTduGq4Gyu+KwyxOJh/DyObNU6EI1LtpAKENARix4FZX2jWpE0
    8hotI2DjRthY67Jaeb0PJhjwjZ8BCIDSjU9j6ItrGLrt34UvJdONhJLraJjnLR+umueKoiSP
    4DsGD7LBSMUgiKUHPOUK1yZNmlJnDiUHKT3o4CQDtspq5reH1o1X5A==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SiWmr9pP+uATtt1+8VJgrYMwkLo=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F9wD2d8Pno9tc2ySV33sjfz6Vrs=</DigestValue>
      </Reference>
      <Reference URI="/word/endnotes.xml?ContentType=application/vnd.openxmlformats-officedocument.wordprocessingml.endnotes+xml">
        <DigestMethod Algorithm="http://www.w3.org/2000/09/xmldsig#sha1"/>
        <DigestValue>eFBSq2p4b/D68gAxuhXomh1R/q4=</DigestValue>
      </Reference>
      <Reference URI="/word/fontTable.xml?ContentType=application/vnd.openxmlformats-officedocument.wordprocessingml.fontTable+xml">
        <DigestMethod Algorithm="http://www.w3.org/2000/09/xmldsig#sha1"/>
        <DigestValue>S3Y5gRm9NWgLMqHOqNWHKuSKaOE=</DigestValue>
      </Reference>
      <Reference URI="/word/footer1.xml?ContentType=application/vnd.openxmlformats-officedocument.wordprocessingml.footer+xml">
        <DigestMethod Algorithm="http://www.w3.org/2000/09/xmldsig#sha1"/>
        <DigestValue>q//X38X5drpRn+rk7LHwX7rHAe8=</DigestValue>
      </Reference>
      <Reference URI="/word/footnotes.xml?ContentType=application/vnd.openxmlformats-officedocument.wordprocessingml.footnotes+xml">
        <DigestMethod Algorithm="http://www.w3.org/2000/09/xmldsig#sha1"/>
        <DigestValue>i9KjxfZ0QWhpTL/6xUXoR37wU8g=</DigestValue>
      </Reference>
      <Reference URI="/word/header1.xml?ContentType=application/vnd.openxmlformats-officedocument.wordprocessingml.header+xml">
        <DigestMethod Algorithm="http://www.w3.org/2000/09/xmldsig#sha1"/>
        <DigestValue>ePhWYUk4u015GPNtwyIpfuYKDQ4=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settings.xml?ContentType=application/vnd.openxmlformats-officedocument.wordprocessingml.settings+xml">
        <DigestMethod Algorithm="http://www.w3.org/2000/09/xmldsig#sha1"/>
        <DigestValue>7SYuihTK0BlInMKbJ0Cz44Oihs0=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ry9hH/4RqLnIXoTerfmlmCGvcr8=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2881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2016-12-12T11:12:00Z</dcterms:created>
  <dcterms:modified xsi:type="dcterms:W3CDTF">2016-12-12T11:16:00Z</dcterms:modified>
</cp:coreProperties>
</file>